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11</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210798</w:t>
      </w:r>
    </w:p>
    <w:p>
      <w:pPr>
        <w:numPr>
          <w:ilvl w:val="0"/>
          <w:numId w:val="0"/>
        </w:numPr>
        <w:overflowPunct w:val="0"/>
        <w:autoSpaceDE w:val="0"/>
        <w:spacing w:after="0" w:line="240" w:lineRule="auto"/>
        <w:jc w:val="both"/>
        <w:textAlignment w:val="baseline"/>
        <w:rPr>
          <w:rFonts w:hint="eastAsia" w:ascii="Arial" w:hAnsi="Arial" w:eastAsia="宋体" w:cs="Arial"/>
          <w:b/>
          <w:bCs/>
          <w:color w:val="000000"/>
          <w:sz w:val="24"/>
          <w:szCs w:val="24"/>
          <w:lang w:eastAsia="zh-CN"/>
        </w:rPr>
      </w:pPr>
      <w:r>
        <w:rPr>
          <w:rFonts w:hint="eastAsia" w:ascii="Arial" w:hAnsi="Arial" w:cs="Arial"/>
          <w:b/>
          <w:bCs/>
          <w:color w:val="000000"/>
          <w:sz w:val="24"/>
          <w:szCs w:val="24"/>
          <w:lang w:val="en-US" w:eastAsia="zh-CN"/>
        </w:rPr>
        <w:t>25 Jan - 4</w:t>
      </w:r>
      <w:r>
        <w:rPr>
          <w:rFonts w:ascii="Arial" w:hAnsi="Arial" w:eastAsia="Batang" w:cs="Arial"/>
          <w:b/>
          <w:bCs/>
          <w:color w:val="000000"/>
          <w:sz w:val="24"/>
          <w:szCs w:val="24"/>
        </w:rPr>
        <w:t xml:space="preserve"> </w:t>
      </w:r>
      <w:r>
        <w:rPr>
          <w:rFonts w:hint="eastAsia" w:ascii="Arial" w:hAnsi="Arial" w:cs="Arial"/>
          <w:b/>
          <w:bCs/>
          <w:color w:val="000000"/>
          <w:sz w:val="24"/>
          <w:szCs w:val="24"/>
          <w:lang w:val="en-US" w:eastAsia="zh-CN"/>
        </w:rPr>
        <w:t>Feb</w:t>
      </w:r>
      <w:r>
        <w:rPr>
          <w:rFonts w:ascii="Arial" w:hAnsi="Arial" w:eastAsia="Batang" w:cs="Arial"/>
          <w:b/>
          <w:bCs/>
          <w:color w:val="000000"/>
          <w:sz w:val="24"/>
          <w:szCs w:val="24"/>
        </w:rPr>
        <w:t xml:space="preserve"> 202</w:t>
      </w:r>
      <w:r>
        <w:rPr>
          <w:rFonts w:hint="eastAsia" w:ascii="Arial" w:hAnsi="Arial" w:eastAsia="宋体" w:cs="Arial"/>
          <w:b/>
          <w:bCs/>
          <w:color w:val="000000"/>
          <w:sz w:val="24"/>
          <w:szCs w:val="24"/>
          <w:lang w:val="en-US" w:eastAsia="zh-CN"/>
        </w:rPr>
        <w:t>1</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10.2.2</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w:t>
      </w:r>
      <w:r>
        <w:rPr>
          <w:rFonts w:hint="eastAsia" w:ascii="Arial" w:hAnsi="Arial"/>
          <w:sz w:val="24"/>
          <w:lang w:val="en-US" w:eastAsia="zh-CN"/>
        </w:rPr>
        <w:t>E, China Telecom, China Unicom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Coverage and Capacity Optimization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ascii="Calibri" w:hAnsi="Calibri" w:cs="Calibri"/>
          <w:i/>
          <w:color w:val="FF0000"/>
          <w:sz w:val="16"/>
          <w:szCs w:val="16"/>
        </w:rPr>
      </w:pPr>
      <w:r>
        <w:rPr>
          <w:rFonts w:hint="eastAsia"/>
          <w:lang w:val="en-US" w:eastAsia="zh-CN"/>
        </w:rPr>
        <w:t>In the previous two meetings, Coverage and Capacity Optimization (CCO) in NR has been discussed, and some agreements were reached.</w:t>
      </w:r>
    </w:p>
    <w:p>
      <w:pPr>
        <w:widowControl w:val="0"/>
        <w:spacing w:after="0"/>
        <w:rPr>
          <w:rFonts w:ascii="Calibri" w:hAnsi="Calibri" w:cs="Calibri"/>
          <w:iCs/>
          <w:color w:val="00B050"/>
          <w:sz w:val="16"/>
          <w:szCs w:val="16"/>
        </w:rPr>
      </w:pPr>
      <w:r>
        <w:rPr>
          <w:rFonts w:ascii="Calibri" w:hAnsi="Calibri" w:cs="Calibri"/>
          <w:iCs/>
          <w:color w:val="00B050"/>
          <w:sz w:val="16"/>
          <w:szCs w:val="16"/>
        </w:rPr>
        <w:t>E-UTRAN CCO function should be considered as baseline for NG-RAN CCO solution for dynamic coverage changes with an index-based solution for coverage switching among deployment options</w:t>
      </w:r>
    </w:p>
    <w:p>
      <w:pPr>
        <w:widowControl w:val="0"/>
        <w:spacing w:after="0"/>
        <w:rPr>
          <w:rFonts w:ascii="Calibri" w:hAnsi="Calibri" w:cs="Calibri"/>
          <w:iCs/>
          <w:color w:val="00B050"/>
          <w:sz w:val="16"/>
          <w:szCs w:val="16"/>
        </w:rPr>
      </w:pPr>
      <w:r>
        <w:rPr>
          <w:rFonts w:ascii="Calibri" w:hAnsi="Calibri" w:cs="Calibri"/>
          <w:iCs/>
          <w:color w:val="00B050"/>
          <w:sz w:val="16"/>
          <w:szCs w:val="16"/>
        </w:rPr>
        <w:t>In NG-RAN scenario, a NG-RAN node may send to a neighbor NG-RAN node a coverage modification list which includes deployment related information concerning the serving cells</w:t>
      </w:r>
    </w:p>
    <w:p>
      <w:pPr>
        <w:widowControl w:val="0"/>
        <w:spacing w:after="0"/>
        <w:rPr>
          <w:rFonts w:ascii="Calibri" w:hAnsi="Calibri" w:cs="Calibri"/>
          <w:iCs/>
          <w:color w:val="00B050"/>
          <w:sz w:val="16"/>
          <w:szCs w:val="16"/>
        </w:rPr>
      </w:pPr>
      <w:r>
        <w:rPr>
          <w:rFonts w:ascii="Calibri" w:hAnsi="Calibri" w:cs="Calibri"/>
          <w:iCs/>
          <w:color w:val="00B050"/>
          <w:sz w:val="16"/>
          <w:szCs w:val="16"/>
        </w:rPr>
        <w:t>Exchange at least NG-RAN CGI, Cell Coverage State, Cell Deployment Status Indicator, Cell Replacing Info in NG-RAN NODE CONFIGURATION UPDATE message over Xn for coverage modification</w:t>
      </w:r>
    </w:p>
    <w:p>
      <w:pPr>
        <w:widowControl w:val="0"/>
        <w:spacing w:after="0"/>
        <w:rPr>
          <w:rFonts w:ascii="Calibri" w:hAnsi="Calibri" w:cs="Calibri"/>
          <w:iCs/>
          <w:color w:val="00B050"/>
          <w:sz w:val="16"/>
          <w:szCs w:val="16"/>
        </w:rPr>
      </w:pPr>
      <w:r>
        <w:rPr>
          <w:rFonts w:ascii="Calibri" w:hAnsi="Calibri" w:cs="Calibri"/>
          <w:iCs/>
          <w:color w:val="00B050"/>
          <w:sz w:val="16"/>
          <w:szCs w:val="16"/>
        </w:rPr>
        <w:t>DU signals to CU coverage related configuration information. Whether to include SSB beam information (on top of cell info) is FFS.</w:t>
      </w:r>
    </w:p>
    <w:p>
      <w:pPr>
        <w:widowControl w:val="0"/>
        <w:spacing w:after="0"/>
        <w:rPr>
          <w:rFonts w:ascii="Calibri" w:hAnsi="Calibri" w:cs="Calibri"/>
          <w:iCs/>
          <w:color w:val="00B050"/>
          <w:sz w:val="16"/>
          <w:szCs w:val="16"/>
        </w:rPr>
      </w:pPr>
      <w:r>
        <w:rPr>
          <w:rFonts w:ascii="Calibri" w:hAnsi="Calibri" w:cs="Calibri"/>
          <w:iCs/>
          <w:color w:val="00B050"/>
          <w:sz w:val="16"/>
          <w:szCs w:val="16"/>
        </w:rPr>
        <w:t>CSI-RS based beam coverage tuning is an optimization and is not covered as part of NR CCO for Rel-17</w:t>
      </w:r>
    </w:p>
    <w:p>
      <w:pPr>
        <w:widowControl w:val="0"/>
        <w:spacing w:after="0"/>
        <w:rPr>
          <w:rFonts w:ascii="Calibri" w:hAnsi="Calibri" w:cs="Calibri"/>
          <w:i/>
          <w:color w:val="FF0000"/>
          <w:sz w:val="16"/>
          <w:szCs w:val="16"/>
        </w:rPr>
      </w:pPr>
      <w:r>
        <w:rPr>
          <w:rFonts w:ascii="Calibri" w:hAnsi="Calibri" w:cs="Calibri"/>
          <w:i/>
          <w:color w:val="FF0000"/>
          <w:sz w:val="16"/>
          <w:szCs w:val="16"/>
        </w:rPr>
        <w:t>Open issues:</w:t>
      </w:r>
    </w:p>
    <w:p>
      <w:pPr>
        <w:widowControl w:val="0"/>
        <w:spacing w:after="0"/>
        <w:rPr>
          <w:rFonts w:ascii="Calibri" w:hAnsi="Calibri" w:cs="Calibri"/>
          <w:i/>
          <w:color w:val="FF0000"/>
          <w:sz w:val="16"/>
          <w:szCs w:val="16"/>
        </w:rPr>
      </w:pPr>
      <w:r>
        <w:rPr>
          <w:rFonts w:ascii="Calibri" w:hAnsi="Calibri" w:cs="Calibri"/>
          <w:i/>
          <w:color w:val="FF0000"/>
          <w:sz w:val="16"/>
          <w:szCs w:val="16"/>
        </w:rPr>
        <w:t>- FFS whether CCO over Xn is signaled as separate per cell state information and SSB state information or whether each cell state reflect a specific SSB configuration</w:t>
      </w:r>
    </w:p>
    <w:p>
      <w:pPr>
        <w:widowControl w:val="0"/>
        <w:spacing w:after="0"/>
        <w:rPr>
          <w:rFonts w:ascii="Calibri" w:hAnsi="Calibri" w:cs="Calibri"/>
          <w:i/>
          <w:color w:val="FF0000"/>
          <w:sz w:val="16"/>
          <w:szCs w:val="16"/>
        </w:rPr>
      </w:pPr>
      <w:r>
        <w:rPr>
          <w:rFonts w:ascii="Calibri" w:hAnsi="Calibri" w:cs="Calibri"/>
          <w:i/>
          <w:color w:val="FF0000"/>
          <w:sz w:val="16"/>
          <w:szCs w:val="16"/>
        </w:rPr>
        <w:t>- FFS who decides that a coverage modification is needed: gNB-DU or gNB-CU</w:t>
      </w:r>
    </w:p>
    <w:p>
      <w:pPr>
        <w:widowControl w:val="0"/>
        <w:spacing w:after="0"/>
        <w:rPr>
          <w:rFonts w:ascii="Calibri" w:hAnsi="Calibri" w:cs="Calibri"/>
          <w:i/>
          <w:color w:val="FF0000"/>
          <w:sz w:val="16"/>
          <w:szCs w:val="16"/>
        </w:rPr>
      </w:pPr>
      <w:r>
        <w:rPr>
          <w:rFonts w:ascii="Calibri" w:hAnsi="Calibri" w:cs="Calibri"/>
          <w:i/>
          <w:color w:val="FF0000"/>
          <w:sz w:val="16"/>
          <w:szCs w:val="16"/>
        </w:rPr>
        <w:t>- FFS who decides how to modify the coverage: gNB-DU or gNB-CU</w:t>
      </w:r>
    </w:p>
    <w:p>
      <w:pPr>
        <w:widowControl w:val="0"/>
        <w:spacing w:after="0"/>
        <w:rPr>
          <w:rFonts w:ascii="Calibri" w:hAnsi="Calibri" w:cs="Calibri"/>
          <w:i/>
          <w:color w:val="FF0000"/>
          <w:sz w:val="16"/>
          <w:szCs w:val="16"/>
        </w:rPr>
      </w:pPr>
      <w:r>
        <w:rPr>
          <w:rFonts w:ascii="Calibri" w:hAnsi="Calibri" w:cs="Calibri"/>
          <w:i/>
          <w:color w:val="FF0000"/>
          <w:sz w:val="16"/>
          <w:szCs w:val="16"/>
        </w:rPr>
        <w:t>- FFS whether forwarding of collected MDT information over Xn is supported</w:t>
      </w:r>
    </w:p>
    <w:p>
      <w:pPr>
        <w:widowControl w:val="0"/>
        <w:spacing w:after="0"/>
        <w:rPr>
          <w:rFonts w:ascii="Calibri" w:hAnsi="Calibri" w:cs="Calibri"/>
          <w:i/>
          <w:color w:val="FF0000"/>
          <w:sz w:val="16"/>
          <w:szCs w:val="16"/>
        </w:rPr>
      </w:pPr>
    </w:p>
    <w:p>
      <w:pPr>
        <w:pStyle w:val="32"/>
        <w:bidi w:val="0"/>
        <w:rPr>
          <w:rFonts w:hint="default"/>
          <w:lang w:val="en-US" w:eastAsia="zh-CN"/>
        </w:rPr>
      </w:pPr>
      <w:r>
        <w:rPr>
          <w:rFonts w:hint="eastAsia"/>
          <w:sz w:val="20"/>
          <w:szCs w:val="20"/>
          <w:lang w:val="en-US" w:eastAsia="zh-CN"/>
        </w:rPr>
        <w:t>In addition to the agreements above, some issues need to be discussed further. In this  contribution, we will further discuss the remaining open issues.</w:t>
      </w:r>
    </w:p>
    <w:p>
      <w:pPr>
        <w:pStyle w:val="2"/>
      </w:pPr>
      <w:r>
        <w:rPr>
          <w:rFonts w:hint="eastAsia"/>
          <w:lang w:val="en-US" w:eastAsia="zh-CN"/>
        </w:rPr>
        <w:t>Discussion</w:t>
      </w:r>
    </w:p>
    <w:p>
      <w:pPr>
        <w:rPr>
          <w:rFonts w:hint="eastAsia"/>
          <w:sz w:val="20"/>
          <w:szCs w:val="20"/>
          <w:lang w:val="en-US" w:eastAsia="zh-CN"/>
        </w:rPr>
      </w:pPr>
      <w:bookmarkStart w:id="3" w:name="OLE_LINK6"/>
      <w:bookmarkStart w:id="4" w:name="OLE_LINK3"/>
      <w:bookmarkStart w:id="5" w:name="_Toc14821262"/>
      <w:bookmarkStart w:id="6" w:name="OLE_LINK4"/>
      <w:bookmarkStart w:id="7" w:name="OLE_LINK2"/>
      <w:r>
        <w:rPr>
          <w:rFonts w:hint="eastAsia"/>
          <w:sz w:val="20"/>
          <w:szCs w:val="20"/>
          <w:lang w:val="en-US" w:eastAsia="zh-CN"/>
        </w:rPr>
        <w:t>For the CCO over Xn, as the beam is the new characteristic in NR, the beam level coverage configuration for CCO should be regarded as a new granularity. In addition to the cell level coverage modification, the beam level coverage modification should be considered, As discussed in [1], the beam shaping/merge/split could help to solve the issue of CCO issue, e.g. the coverage hole between the gNBs. Therefore, the per cell state CCO information should be separated with the per SSB state CCO information over Xn.</w:t>
      </w:r>
    </w:p>
    <w:p>
      <w:pPr>
        <w:rPr>
          <w:rFonts w:hint="eastAsia"/>
          <w:sz w:val="20"/>
          <w:szCs w:val="20"/>
          <w:lang w:val="en-US" w:eastAsia="zh-CN"/>
        </w:rPr>
      </w:pPr>
      <w:r>
        <w:rPr>
          <w:rFonts w:hint="eastAsia"/>
          <w:sz w:val="20"/>
          <w:szCs w:val="20"/>
          <w:lang w:val="en-US" w:eastAsia="zh-CN"/>
        </w:rPr>
        <w:t xml:space="preserve">The beam level CCO information should be exchanged between the gNBs, such as the SSB Index, Beam Coverage Status, Beam Deployment Status Indicator and Beam Replacing Info. To be more specific, as a set of beams could be modified together in the real deployment, the SSB Index could refer to a single beam or a set of beams. Similar to the Cell Coverage Status, the detailed value of Beam Coverage Status should be FFS. Alternatively, </w:t>
      </w:r>
      <w:r>
        <w:rPr>
          <w:rFonts w:hint="eastAsia"/>
          <w:sz w:val="20"/>
          <w:szCs w:val="20"/>
          <w:highlight w:val="none"/>
          <w:lang w:val="en-US" w:eastAsia="zh-CN"/>
        </w:rPr>
        <w:t>the Azimuth Angle, Tilt Angle, Horizontal Beam Width and Vertical Beam Width</w:t>
      </w:r>
      <w:r>
        <w:rPr>
          <w:rFonts w:hint="eastAsia"/>
          <w:sz w:val="20"/>
          <w:szCs w:val="20"/>
          <w:lang w:val="en-US" w:eastAsia="zh-CN"/>
        </w:rPr>
        <w:t xml:space="preserve"> could be introduced as the detailed expression of the beam configuration instead of the Beam Coverage Status. </w:t>
      </w:r>
    </w:p>
    <w:p>
      <w:pPr>
        <w:rPr>
          <w:rFonts w:hint="eastAsia"/>
          <w:sz w:val="20"/>
          <w:szCs w:val="20"/>
          <w:lang w:val="en-US" w:eastAsia="zh-CN"/>
        </w:rPr>
      </w:pPr>
      <w:r>
        <w:rPr>
          <w:rFonts w:hint="eastAsia"/>
          <w:b/>
          <w:bCs/>
          <w:u w:val="none"/>
          <w:lang w:val="en-US" w:eastAsia="zh-CN"/>
        </w:rPr>
        <w:t>Proposal 1: The beam level CCO information could be separated with the cell level CCO information over Xn.</w:t>
      </w:r>
    </w:p>
    <w:p>
      <w:pPr>
        <w:rPr>
          <w:rFonts w:hint="default"/>
          <w:sz w:val="20"/>
          <w:szCs w:val="21"/>
          <w:highlight w:val="none"/>
          <w:lang w:val="en-US" w:eastAsia="zh-CN"/>
        </w:rPr>
      </w:pPr>
      <w:r>
        <w:rPr>
          <w:rFonts w:hint="eastAsia"/>
          <w:sz w:val="20"/>
          <w:szCs w:val="21"/>
          <w:highlight w:val="none"/>
          <w:lang w:val="en-US" w:eastAsia="zh-CN"/>
        </w:rPr>
        <w:t xml:space="preserve">For F1 interface, the gNB-DU has enough capability to obtain the status of serving cells and serving beams, and it should be gNB-DU to decide how to modify the the coverage and correct the CCO issue. For the detection of the CCO issue, although the gNB-CU is able to get the measurements of neighbor cells and check whether the CCO issue exists, it will introduce an extra IE to inform the gNB-DU about the CCO issue. As it is agreed that the RLF report information is introduced in </w:t>
      </w:r>
      <w:r>
        <w:rPr>
          <w:rFonts w:eastAsia="Yu Mincho"/>
        </w:rPr>
        <w:t>the ACCESS AND MOBILITY INDICATION message</w:t>
      </w:r>
      <w:r>
        <w:rPr>
          <w:rFonts w:hint="eastAsia" w:eastAsia="宋体"/>
          <w:lang w:val="en-US" w:eastAsia="zh-CN"/>
        </w:rPr>
        <w:t>,</w:t>
      </w:r>
      <w:r>
        <w:rPr>
          <w:rFonts w:hint="eastAsia"/>
          <w:sz w:val="20"/>
          <w:szCs w:val="21"/>
          <w:highlight w:val="none"/>
          <w:lang w:val="en-US" w:eastAsia="zh-CN"/>
        </w:rPr>
        <w:t xml:space="preserve"> the gNB-DU is able to receive the RLF reports related to mobility issues to find the CCO issue. Therefore, the gNB-DU could be also responsible for the detection of CCO issue.</w:t>
      </w:r>
    </w:p>
    <w:p>
      <w:pPr>
        <w:rPr>
          <w:rFonts w:hint="eastAsia"/>
          <w:b/>
          <w:bCs/>
          <w:u w:val="none"/>
          <w:lang w:val="en-US" w:eastAsia="zh-CN"/>
        </w:rPr>
      </w:pPr>
      <w:r>
        <w:rPr>
          <w:rFonts w:hint="eastAsia"/>
          <w:b/>
          <w:bCs/>
          <w:u w:val="none"/>
          <w:lang w:val="en-US" w:eastAsia="zh-CN"/>
        </w:rPr>
        <w:t>Proposal 2: The gNB-DU could be responsible for both the detection and correction of CCO issue.</w:t>
      </w:r>
    </w:p>
    <w:p>
      <w:pPr>
        <w:rPr>
          <w:rFonts w:hint="default"/>
          <w:b w:val="0"/>
          <w:bCs w:val="0"/>
          <w:u w:val="none"/>
          <w:lang w:val="en-US" w:eastAsia="zh-CN"/>
        </w:rPr>
      </w:pPr>
      <w:r>
        <w:rPr>
          <w:rFonts w:hint="eastAsia"/>
          <w:b w:val="0"/>
          <w:bCs w:val="0"/>
          <w:u w:val="none"/>
          <w:lang w:val="en-US" w:eastAsia="zh-CN"/>
        </w:rPr>
        <w:t>Similar as Xn, both the cell level and beam level CCO information should be exchanged over F1, as the cell coverage modification related information and beam coverage modification related information is obtained by gNB-DU. The cell level and beam level CCO information should be transmitted for gNB-DU to gNB-CU. And the detailed CCO information over F1 should be aligned with the information over Xn.</w:t>
      </w:r>
    </w:p>
    <w:p>
      <w:pPr>
        <w:rPr>
          <w:rFonts w:hint="default"/>
          <w:b/>
          <w:bCs/>
          <w:u w:val="none"/>
          <w:lang w:val="en-US" w:eastAsia="zh-CN"/>
        </w:rPr>
      </w:pPr>
      <w:bookmarkStart w:id="8" w:name="OLE_LINK5"/>
      <w:r>
        <w:rPr>
          <w:rFonts w:hint="eastAsia"/>
          <w:b/>
          <w:bCs/>
          <w:u w:val="none"/>
          <w:lang w:val="en-US" w:eastAsia="zh-CN"/>
        </w:rPr>
        <w:t>Proposal 3: Both the cell level and beam level CCO information should be transmitted from gNB-DU to gNB-CU.</w:t>
      </w:r>
      <w:bookmarkEnd w:id="8"/>
    </w:p>
    <w:bookmarkEnd w:id="3"/>
    <w:bookmarkEnd w:id="4"/>
    <w:bookmarkEnd w:id="5"/>
    <w:bookmarkEnd w:id="6"/>
    <w:bookmarkEnd w:id="7"/>
    <w:p>
      <w:pPr>
        <w:pStyle w:val="2"/>
        <w:rPr>
          <w:lang w:val="en-US"/>
        </w:rPr>
      </w:pPr>
      <w:r>
        <w:rPr>
          <w:rFonts w:hint="eastAsia" w:eastAsia="宋体"/>
          <w:lang w:val="en-US" w:eastAsia="zh-CN"/>
        </w:rPr>
        <w:t>Conclusion</w:t>
      </w:r>
    </w:p>
    <w:p>
      <w:pPr>
        <w:rPr>
          <w:rFonts w:hint="eastAsia"/>
          <w:sz w:val="20"/>
          <w:szCs w:val="20"/>
          <w:lang w:val="en-US" w:eastAsia="zh-CN"/>
        </w:rPr>
      </w:pPr>
      <w:r>
        <w:rPr>
          <w:rFonts w:hint="eastAsia"/>
          <w:b/>
          <w:bCs/>
          <w:u w:val="none"/>
          <w:lang w:val="en-US" w:eastAsia="zh-CN"/>
        </w:rPr>
        <w:t>Proposal 1: The beam level CCO information could be separated with the cell level CCO information over Xn.</w:t>
      </w:r>
    </w:p>
    <w:p>
      <w:pPr>
        <w:rPr>
          <w:rFonts w:hint="eastAsia"/>
          <w:b/>
          <w:bCs/>
          <w:u w:val="none"/>
          <w:lang w:val="en-US" w:eastAsia="zh-CN"/>
        </w:rPr>
      </w:pPr>
      <w:r>
        <w:rPr>
          <w:rFonts w:hint="eastAsia"/>
          <w:b/>
          <w:bCs/>
          <w:u w:val="none"/>
          <w:lang w:val="en-US" w:eastAsia="zh-CN"/>
        </w:rPr>
        <w:t>Proposal 2: The gNB-DU could be</w:t>
      </w:r>
      <w:bookmarkStart w:id="11" w:name="_GoBack"/>
      <w:bookmarkEnd w:id="11"/>
      <w:r>
        <w:rPr>
          <w:rFonts w:hint="eastAsia"/>
          <w:b/>
          <w:bCs/>
          <w:u w:val="none"/>
          <w:lang w:val="en-US" w:eastAsia="zh-CN"/>
        </w:rPr>
        <w:t xml:space="preserve"> responsible for both the detection and correction of CCO issue.</w:t>
      </w:r>
    </w:p>
    <w:p>
      <w:pPr>
        <w:rPr>
          <w:rFonts w:hint="eastAsia"/>
          <w:b/>
          <w:bCs/>
          <w:u w:val="none"/>
          <w:lang w:val="en-US" w:eastAsia="zh-CN"/>
        </w:rPr>
      </w:pPr>
      <w:r>
        <w:rPr>
          <w:rFonts w:hint="eastAsia"/>
          <w:b/>
          <w:bCs/>
          <w:u w:val="none"/>
          <w:lang w:val="en-US" w:eastAsia="zh-CN"/>
        </w:rPr>
        <w:t>Proposal 3: Both the cell level and beam level CCO information should be transmitted from gNB-DU to gNB-CU.</w:t>
      </w:r>
    </w:p>
    <w:p>
      <w:pPr>
        <w:rPr>
          <w:rFonts w:hint="default"/>
          <w:b/>
          <w:bCs/>
          <w:u w:val="none"/>
          <w:lang w:val="en-US" w:eastAsia="zh-CN"/>
        </w:rPr>
      </w:pPr>
      <w:r>
        <w:rPr>
          <w:rFonts w:hint="eastAsia"/>
          <w:b/>
          <w:bCs/>
          <w:u w:val="none"/>
          <w:lang w:val="en-US" w:eastAsia="zh-CN"/>
        </w:rPr>
        <w:t xml:space="preserve">The corresponding </w:t>
      </w:r>
      <w:r>
        <w:rPr>
          <w:rFonts w:hint="eastAsia"/>
          <w:b/>
          <w:bCs/>
          <w:lang w:val="en-US" w:eastAsia="zh-CN"/>
        </w:rPr>
        <w:t>TPs</w:t>
      </w:r>
      <w:r>
        <w:rPr>
          <w:rFonts w:hint="eastAsia"/>
          <w:b/>
          <w:bCs/>
          <w:u w:val="none"/>
          <w:lang w:val="en-US" w:eastAsia="zh-CN"/>
        </w:rPr>
        <w:t xml:space="preserve"> are provided in [2], [3] and [4].</w:t>
      </w:r>
    </w:p>
    <w:p>
      <w:pPr>
        <w:pStyle w:val="2"/>
        <w:rPr>
          <w:lang w:val="en-US"/>
        </w:rPr>
      </w:pPr>
      <w:r>
        <w:rPr>
          <w:rFonts w:hint="eastAsia"/>
          <w:lang w:val="en-US" w:eastAsia="zh-CN"/>
        </w:rPr>
        <w:t xml:space="preserve"> </w:t>
      </w:r>
      <w:r>
        <w:rPr>
          <w:lang w:val="en-US"/>
        </w:rPr>
        <w:t>References</w:t>
      </w:r>
    </w:p>
    <w:p>
      <w:pPr>
        <w:numPr>
          <w:ilvl w:val="0"/>
          <w:numId w:val="11"/>
        </w:numPr>
        <w:rPr>
          <w:rFonts w:hint="eastAsia"/>
          <w:lang w:val="en-US" w:eastAsia="zh-CN"/>
        </w:rPr>
      </w:pPr>
      <w:bookmarkStart w:id="9" w:name="_Hlk46394125"/>
      <w:bookmarkStart w:id="10" w:name="OLE_LINK1"/>
      <w:r>
        <w:rPr>
          <w:rFonts w:hint="eastAsia"/>
          <w:lang w:val="en-US" w:eastAsia="zh-CN"/>
        </w:rPr>
        <w:t xml:space="preserve">R3-205015  </w:t>
      </w:r>
      <w:r>
        <w:rPr>
          <w:lang w:val="en-US"/>
        </w:rPr>
        <w:t xml:space="preserve">NR CCO – </w:t>
      </w:r>
      <w:bookmarkEnd w:id="9"/>
      <w:r>
        <w:rPr>
          <w:lang w:val="en-US"/>
        </w:rPr>
        <w:t>Use cases and tools</w:t>
      </w:r>
      <w:r>
        <w:rPr>
          <w:rFonts w:hint="eastAsia"/>
          <w:lang w:val="en-US" w:eastAsia="zh-CN"/>
        </w:rPr>
        <w:t xml:space="preserve">  Ericsson</w:t>
      </w:r>
    </w:p>
    <w:p>
      <w:pPr>
        <w:numPr>
          <w:ilvl w:val="0"/>
          <w:numId w:val="11"/>
        </w:numPr>
        <w:rPr>
          <w:rFonts w:hint="eastAsia"/>
          <w:iCs/>
          <w:lang w:val="en-US" w:eastAsia="zh-CN"/>
        </w:rPr>
      </w:pPr>
      <w:r>
        <w:rPr>
          <w:rFonts w:hint="eastAsia"/>
          <w:lang w:val="en-US" w:eastAsia="zh-CN"/>
        </w:rPr>
        <w:t>R3-210799 TP for BL CR 38.300 on CCO  ZTE</w:t>
      </w:r>
      <w:bookmarkEnd w:id="10"/>
      <w:r>
        <w:rPr>
          <w:rFonts w:hint="eastAsia"/>
          <w:lang w:val="en-US" w:eastAsia="zh-CN"/>
        </w:rPr>
        <w:t>, China Telecom, China Unicom</w:t>
      </w:r>
    </w:p>
    <w:p>
      <w:pPr>
        <w:numPr>
          <w:ilvl w:val="0"/>
          <w:numId w:val="11"/>
        </w:numPr>
        <w:rPr>
          <w:rFonts w:hint="eastAsia"/>
          <w:iCs/>
          <w:lang w:val="en-US" w:eastAsia="zh-CN"/>
        </w:rPr>
      </w:pPr>
      <w:r>
        <w:rPr>
          <w:rFonts w:hint="eastAsia"/>
          <w:lang w:val="en-US" w:eastAsia="zh-CN"/>
        </w:rPr>
        <w:t>R3-210800 TP for BL CR 38.423 on CCO  ZTE, China Telecom, China Unicom</w:t>
      </w:r>
    </w:p>
    <w:p>
      <w:pPr>
        <w:numPr>
          <w:ilvl w:val="0"/>
          <w:numId w:val="11"/>
        </w:numPr>
        <w:rPr>
          <w:rFonts w:hint="eastAsia"/>
          <w:iCs/>
          <w:lang w:val="en-US" w:eastAsia="zh-CN"/>
        </w:rPr>
      </w:pPr>
      <w:r>
        <w:rPr>
          <w:rFonts w:hint="eastAsia"/>
          <w:lang w:val="en-US" w:eastAsia="zh-CN"/>
        </w:rPr>
        <w:t>R3-210801 TP for BL CR 38.473 on CCO  ZTE, China Telecom, China Unicom</w:t>
      </w:r>
    </w:p>
    <w:p>
      <w:pPr>
        <w:numPr>
          <w:ilvl w:val="0"/>
          <w:numId w:val="0"/>
        </w:num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3E827EF"/>
    <w:rsid w:val="141B1F86"/>
    <w:rsid w:val="14336A4B"/>
    <w:rsid w:val="144E1357"/>
    <w:rsid w:val="14951399"/>
    <w:rsid w:val="149F04AF"/>
    <w:rsid w:val="14A5762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B008D6"/>
    <w:rsid w:val="24F777F0"/>
    <w:rsid w:val="255270B3"/>
    <w:rsid w:val="256E3041"/>
    <w:rsid w:val="258A3006"/>
    <w:rsid w:val="25913F66"/>
    <w:rsid w:val="25D543C7"/>
    <w:rsid w:val="25E25B1B"/>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3B53AB"/>
    <w:rsid w:val="2A4A6563"/>
    <w:rsid w:val="2A845CCD"/>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6D1182"/>
    <w:rsid w:val="2E7528B1"/>
    <w:rsid w:val="2EC36F08"/>
    <w:rsid w:val="2EEE69D4"/>
    <w:rsid w:val="2F382857"/>
    <w:rsid w:val="2F550CAE"/>
    <w:rsid w:val="2FE62409"/>
    <w:rsid w:val="2FF61694"/>
    <w:rsid w:val="303655F3"/>
    <w:rsid w:val="303969A8"/>
    <w:rsid w:val="306B0B80"/>
    <w:rsid w:val="30BF03AE"/>
    <w:rsid w:val="30E44BBF"/>
    <w:rsid w:val="30E47FAC"/>
    <w:rsid w:val="318B2428"/>
    <w:rsid w:val="31B1536D"/>
    <w:rsid w:val="31BB5F47"/>
    <w:rsid w:val="31DD2EE0"/>
    <w:rsid w:val="31E54763"/>
    <w:rsid w:val="32391713"/>
    <w:rsid w:val="323C5FF4"/>
    <w:rsid w:val="323F73F9"/>
    <w:rsid w:val="32571698"/>
    <w:rsid w:val="32612FE2"/>
    <w:rsid w:val="32872C29"/>
    <w:rsid w:val="32A12D4A"/>
    <w:rsid w:val="32B91B4A"/>
    <w:rsid w:val="32CF4786"/>
    <w:rsid w:val="32F153B4"/>
    <w:rsid w:val="334A10A6"/>
    <w:rsid w:val="33543A69"/>
    <w:rsid w:val="335A6A39"/>
    <w:rsid w:val="339027E3"/>
    <w:rsid w:val="33F812D5"/>
    <w:rsid w:val="340B44DD"/>
    <w:rsid w:val="34395DF7"/>
    <w:rsid w:val="34784ACC"/>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6F45EE"/>
    <w:rsid w:val="377266A8"/>
    <w:rsid w:val="377A73B2"/>
    <w:rsid w:val="37A022CD"/>
    <w:rsid w:val="37A317A3"/>
    <w:rsid w:val="37A903C2"/>
    <w:rsid w:val="37B76230"/>
    <w:rsid w:val="37C230C0"/>
    <w:rsid w:val="37D82C11"/>
    <w:rsid w:val="37EC5240"/>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A849A0"/>
    <w:rsid w:val="3BB9119D"/>
    <w:rsid w:val="3BC07508"/>
    <w:rsid w:val="3BE81889"/>
    <w:rsid w:val="3C2222A1"/>
    <w:rsid w:val="3C8A280E"/>
    <w:rsid w:val="3C97649D"/>
    <w:rsid w:val="3CFE691F"/>
    <w:rsid w:val="3D664C7B"/>
    <w:rsid w:val="3D7262BE"/>
    <w:rsid w:val="3D9B4E79"/>
    <w:rsid w:val="3DA539D0"/>
    <w:rsid w:val="3DB70219"/>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AE26D4"/>
    <w:rsid w:val="49CD3F95"/>
    <w:rsid w:val="49FF5459"/>
    <w:rsid w:val="4A4E6EBE"/>
    <w:rsid w:val="4A6B6121"/>
    <w:rsid w:val="4A872624"/>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0D7AB5"/>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728B2"/>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B87D76"/>
    <w:rsid w:val="5AC16934"/>
    <w:rsid w:val="5B1A502A"/>
    <w:rsid w:val="5B2828B1"/>
    <w:rsid w:val="5B8B7980"/>
    <w:rsid w:val="5B9132D9"/>
    <w:rsid w:val="5BA07233"/>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3133B8"/>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4B7B41"/>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8C39A9"/>
    <w:rsid w:val="6DBF0252"/>
    <w:rsid w:val="6DD70E25"/>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AF2C2B"/>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2021-01-15T05:09:58Z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